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79A" w:rsidRDefault="0006179A">
      <w:pPr>
        <w:ind w:left="709"/>
        <w:rPr>
          <w:b/>
          <w:sz w:val="22"/>
        </w:rPr>
      </w:pPr>
      <w:r>
        <w:tab/>
      </w:r>
      <w:r>
        <w:tab/>
      </w:r>
      <w:r>
        <w:tab/>
      </w:r>
      <w:r>
        <w:tab/>
      </w:r>
    </w:p>
    <w:p w:rsidR="0006179A" w:rsidRDefault="0006179A">
      <w:pPr>
        <w:ind w:left="709"/>
        <w:rPr>
          <w:b/>
          <w:sz w:val="22"/>
        </w:rPr>
      </w:pPr>
    </w:p>
    <w:p w:rsidR="0006179A" w:rsidRDefault="0006179A">
      <w:pPr>
        <w:rPr>
          <w:b/>
          <w:bCs/>
        </w:rPr>
      </w:pPr>
    </w:p>
    <w:p w:rsidR="0006179A" w:rsidRDefault="0006179A">
      <w:pPr>
        <w:rPr>
          <w:b/>
          <w:bCs/>
        </w:rPr>
      </w:pPr>
    </w:p>
    <w:p w:rsidR="0006179A" w:rsidRDefault="0006179A">
      <w:pPr>
        <w:rPr>
          <w:b/>
          <w:bCs/>
        </w:rPr>
      </w:pPr>
      <w:r>
        <w:rPr>
          <w:b/>
          <w:bCs/>
        </w:rPr>
        <w:t>BÖLGE İDARE MAHKEMESİ BAŞKANLIĞINA  SUNULMAK ÜZERE</w:t>
      </w:r>
    </w:p>
    <w:p w:rsidR="0006179A" w:rsidRDefault="0059528D">
      <w:pPr>
        <w:rPr>
          <w:b/>
          <w:bCs/>
        </w:rPr>
      </w:pPr>
      <w:r>
        <w:rPr>
          <w:b/>
          <w:bCs/>
        </w:rPr>
        <w:t>İSTANBUL</w:t>
      </w:r>
      <w:r w:rsidR="0006179A">
        <w:rPr>
          <w:b/>
          <w:bCs/>
        </w:rPr>
        <w:t xml:space="preserve"> VERGİ MAHKEMESİ BAŞKANLIĞINA</w:t>
      </w:r>
    </w:p>
    <w:p w:rsidR="0059528D" w:rsidRPr="0059528D" w:rsidRDefault="0059528D">
      <w:pPr>
        <w:rPr>
          <w:b/>
          <w:bCs/>
          <w:u w:val="single"/>
        </w:rPr>
      </w:pPr>
      <w:r w:rsidRPr="0059528D">
        <w:rPr>
          <w:b/>
          <w:bCs/>
          <w:u w:val="single"/>
        </w:rPr>
        <w:t>BAĞCILAR/İSTANBUL</w:t>
      </w:r>
    </w:p>
    <w:p w:rsidR="0006179A" w:rsidRDefault="0006179A">
      <w:pPr>
        <w:ind w:left="709"/>
      </w:pPr>
    </w:p>
    <w:p w:rsidR="0006179A" w:rsidRDefault="0006179A">
      <w:pPr>
        <w:ind w:left="708"/>
      </w:pPr>
    </w:p>
    <w:p w:rsidR="0006179A" w:rsidRDefault="0006179A">
      <w:pPr>
        <w:ind w:left="708"/>
        <w:rPr>
          <w:b/>
          <w:bCs/>
        </w:rPr>
      </w:pPr>
    </w:p>
    <w:p w:rsidR="0006179A" w:rsidRDefault="0006179A">
      <w:pPr>
        <w:rPr>
          <w:b/>
          <w:bCs/>
        </w:rPr>
      </w:pPr>
      <w:r>
        <w:rPr>
          <w:b/>
          <w:bCs/>
        </w:rPr>
        <w:t>DOSYA NUMARASI</w:t>
      </w:r>
      <w:r>
        <w:rPr>
          <w:b/>
          <w:bCs/>
        </w:rPr>
        <w:tab/>
      </w:r>
      <w:r>
        <w:rPr>
          <w:b/>
          <w:bCs/>
        </w:rPr>
        <w:tab/>
      </w:r>
      <w:r>
        <w:rPr>
          <w:b/>
          <w:bCs/>
        </w:rPr>
        <w:tab/>
        <w:t>: ESAS NO</w:t>
      </w:r>
      <w:r>
        <w:rPr>
          <w:b/>
          <w:bCs/>
        </w:rPr>
        <w:tab/>
        <w:t xml:space="preserve"> : </w:t>
      </w:r>
    </w:p>
    <w:p w:rsidR="0006179A" w:rsidRDefault="0006179A">
      <w:pPr>
        <w:ind w:left="4248"/>
        <w:rPr>
          <w:b/>
          <w:bCs/>
        </w:rPr>
      </w:pPr>
      <w:r>
        <w:rPr>
          <w:b/>
          <w:bCs/>
        </w:rPr>
        <w:t xml:space="preserve">  KARAR NO : </w:t>
      </w:r>
    </w:p>
    <w:p w:rsidR="0006179A" w:rsidRDefault="0006179A">
      <w:pPr>
        <w:ind w:left="708"/>
        <w:rPr>
          <w:b/>
        </w:rPr>
      </w:pPr>
    </w:p>
    <w:p w:rsidR="0006179A" w:rsidRDefault="0006179A">
      <w:pPr>
        <w:rPr>
          <w:b/>
        </w:rPr>
      </w:pPr>
    </w:p>
    <w:p w:rsidR="0006179A" w:rsidRDefault="0006179A">
      <w:r>
        <w:rPr>
          <w:b/>
        </w:rPr>
        <w:t>İTİRAZ EDENİN,</w:t>
      </w:r>
      <w:r>
        <w:rPr>
          <w:b/>
        </w:rPr>
        <w:tab/>
      </w:r>
      <w:r>
        <w:rPr>
          <w:b/>
        </w:rPr>
        <w:tab/>
      </w:r>
      <w:r>
        <w:rPr>
          <w:b/>
        </w:rPr>
        <w:tab/>
      </w:r>
    </w:p>
    <w:p w:rsidR="0006179A" w:rsidRDefault="0006179A">
      <w:pPr>
        <w:ind w:left="709"/>
        <w:rPr>
          <w:b/>
        </w:rPr>
      </w:pPr>
      <w:r>
        <w:rPr>
          <w:b/>
        </w:rPr>
        <w:tab/>
      </w:r>
      <w:r>
        <w:rPr>
          <w:b/>
        </w:rPr>
        <w:tab/>
        <w:t xml:space="preserve">     (UNVANI</w:t>
      </w:r>
      <w:r>
        <w:rPr>
          <w:b/>
        </w:rPr>
        <w:tab/>
      </w:r>
      <w:r>
        <w:rPr>
          <w:b/>
        </w:rPr>
        <w:tab/>
        <w:t xml:space="preserve">: </w:t>
      </w:r>
    </w:p>
    <w:p w:rsidR="0006179A" w:rsidRDefault="0006179A">
      <w:pPr>
        <w:ind w:left="709"/>
        <w:rPr>
          <w:b/>
        </w:rPr>
      </w:pPr>
      <w:r>
        <w:rPr>
          <w:b/>
        </w:rPr>
        <w:tab/>
      </w:r>
      <w:r>
        <w:rPr>
          <w:b/>
        </w:rPr>
        <w:tab/>
        <w:t xml:space="preserve">     (ADRESİ</w:t>
      </w:r>
      <w:r>
        <w:rPr>
          <w:b/>
        </w:rPr>
        <w:tab/>
      </w:r>
      <w:r>
        <w:rPr>
          <w:b/>
        </w:rPr>
        <w:tab/>
        <w:t xml:space="preserve">: </w:t>
      </w:r>
    </w:p>
    <w:p w:rsidR="0006179A" w:rsidRDefault="0006179A">
      <w:pPr>
        <w:ind w:left="709"/>
        <w:rPr>
          <w:b/>
        </w:rPr>
      </w:pPr>
      <w:r>
        <w:rPr>
          <w:b/>
        </w:rPr>
        <w:tab/>
      </w:r>
      <w:r>
        <w:rPr>
          <w:b/>
        </w:rPr>
        <w:tab/>
      </w:r>
      <w:r>
        <w:rPr>
          <w:b/>
        </w:rPr>
        <w:tab/>
      </w:r>
      <w:r>
        <w:rPr>
          <w:b/>
        </w:rPr>
        <w:tab/>
      </w:r>
      <w:r>
        <w:rPr>
          <w:b/>
        </w:rPr>
        <w:tab/>
        <w:t xml:space="preserve">  </w:t>
      </w:r>
      <w:r>
        <w:rPr>
          <w:b/>
        </w:rPr>
        <w:tab/>
      </w:r>
      <w:r>
        <w:rPr>
          <w:b/>
        </w:rPr>
        <w:tab/>
      </w:r>
    </w:p>
    <w:p w:rsidR="0006179A" w:rsidRDefault="0006179A">
      <w:pPr>
        <w:ind w:left="709"/>
        <w:rPr>
          <w:b/>
        </w:rPr>
      </w:pPr>
    </w:p>
    <w:p w:rsidR="0006179A" w:rsidRDefault="0006179A">
      <w:r>
        <w:rPr>
          <w:b/>
          <w:bCs/>
        </w:rPr>
        <w:t>KARŞI TARAF</w:t>
      </w:r>
      <w:r>
        <w:rPr>
          <w:b/>
          <w:bCs/>
        </w:rPr>
        <w:tab/>
      </w:r>
      <w:r>
        <w:rPr>
          <w:b/>
          <w:bCs/>
        </w:rPr>
        <w:tab/>
      </w:r>
      <w:r>
        <w:rPr>
          <w:b/>
          <w:bCs/>
        </w:rPr>
        <w:tab/>
      </w:r>
      <w:r>
        <w:rPr>
          <w:b/>
          <w:bCs/>
        </w:rPr>
        <w:tab/>
        <w:t>: …………..VERGİ DAİRESİ MÜDÜRLÜĞÜ</w:t>
      </w:r>
      <w:r>
        <w:tab/>
      </w:r>
      <w:r>
        <w:tab/>
      </w:r>
      <w:r>
        <w:tab/>
      </w:r>
    </w:p>
    <w:p w:rsidR="0006179A" w:rsidRDefault="0006179A">
      <w:pPr>
        <w:ind w:left="709"/>
      </w:pPr>
      <w:r>
        <w:tab/>
      </w:r>
      <w:r>
        <w:tab/>
      </w:r>
      <w:r>
        <w:tab/>
      </w:r>
      <w:r>
        <w:tab/>
      </w:r>
      <w:r>
        <w:tab/>
      </w:r>
      <w:r>
        <w:tab/>
      </w:r>
    </w:p>
    <w:p w:rsidR="0006179A" w:rsidRDefault="0006179A">
      <w:pPr>
        <w:rPr>
          <w:b/>
          <w:bCs/>
        </w:rPr>
      </w:pPr>
      <w:r>
        <w:rPr>
          <w:b/>
        </w:rPr>
        <w:t>İTİRAZIN  KONUSU</w:t>
      </w:r>
      <w:r>
        <w:rPr>
          <w:b/>
        </w:rPr>
        <w:tab/>
      </w:r>
      <w:r>
        <w:rPr>
          <w:b/>
        </w:rPr>
        <w:tab/>
        <w:t xml:space="preserve">            : </w:t>
      </w:r>
      <w:r>
        <w:rPr>
          <w:b/>
          <w:bCs/>
        </w:rPr>
        <w:t>….Vergi Mahkemesinin ………..</w:t>
      </w:r>
    </w:p>
    <w:p w:rsidR="0006179A" w:rsidRDefault="0006179A">
      <w:pPr>
        <w:ind w:left="4248"/>
        <w:rPr>
          <w:b/>
          <w:bCs/>
        </w:rPr>
      </w:pPr>
      <w:r>
        <w:rPr>
          <w:b/>
          <w:bCs/>
        </w:rPr>
        <w:t xml:space="preserve">   tarih ve E:……. , K:………..</w:t>
      </w:r>
      <w:r>
        <w:t xml:space="preserve"> </w:t>
      </w:r>
      <w:r>
        <w:rPr>
          <w:b/>
          <w:bCs/>
        </w:rPr>
        <w:t xml:space="preserve">sayılı       </w:t>
      </w:r>
    </w:p>
    <w:p w:rsidR="0006179A" w:rsidRDefault="0006179A">
      <w:pPr>
        <w:ind w:left="4248"/>
        <w:rPr>
          <w:b/>
          <w:bCs/>
        </w:rPr>
      </w:pPr>
      <w:r>
        <w:rPr>
          <w:b/>
          <w:bCs/>
        </w:rPr>
        <w:t xml:space="preserve">   kararının  bozulması, isteminden ibarettir.</w:t>
      </w:r>
    </w:p>
    <w:p w:rsidR="0006179A" w:rsidRDefault="0006179A">
      <w:r>
        <w:tab/>
      </w:r>
    </w:p>
    <w:p w:rsidR="0006179A" w:rsidRDefault="0006179A">
      <w:pPr>
        <w:rPr>
          <w:b/>
        </w:rPr>
      </w:pPr>
      <w:r>
        <w:rPr>
          <w:b/>
        </w:rPr>
        <w:t>DAVA KONUSU CEZANIN,</w:t>
      </w:r>
    </w:p>
    <w:p w:rsidR="0006179A" w:rsidRDefault="0059528D">
      <w:pPr>
        <w:ind w:left="2494"/>
      </w:pPr>
      <w:r>
        <w:rPr>
          <w:b/>
        </w:rPr>
        <w:t>(TÜRÜ</w:t>
      </w:r>
      <w:r>
        <w:rPr>
          <w:b/>
        </w:rPr>
        <w:tab/>
      </w:r>
      <w:r>
        <w:rPr>
          <w:b/>
        </w:rPr>
        <w:tab/>
        <w:t>: Özel U</w:t>
      </w:r>
      <w:r w:rsidR="0006179A">
        <w:rPr>
          <w:b/>
        </w:rPr>
        <w:t>sulsüzlük Cezası</w:t>
      </w:r>
      <w:r w:rsidR="0006179A">
        <w:t>.</w:t>
      </w:r>
      <w:r w:rsidR="0006179A">
        <w:rPr>
          <w:b/>
        </w:rPr>
        <w:tab/>
      </w:r>
      <w:r w:rsidR="0006179A">
        <w:rPr>
          <w:b/>
        </w:rPr>
        <w:tab/>
        <w:t xml:space="preserve">     (MİKTARI</w:t>
      </w:r>
      <w:r w:rsidR="0006179A">
        <w:rPr>
          <w:b/>
        </w:rPr>
        <w:tab/>
        <w:t xml:space="preserve">:  </w:t>
      </w:r>
      <w:r w:rsidR="0006179A">
        <w:rPr>
          <w:b/>
        </w:rPr>
        <w:tab/>
      </w:r>
    </w:p>
    <w:p w:rsidR="0006179A" w:rsidRDefault="0006179A">
      <w:pPr>
        <w:ind w:left="709"/>
        <w:rPr>
          <w:b/>
        </w:rPr>
      </w:pPr>
      <w:r>
        <w:rPr>
          <w:b/>
        </w:rPr>
        <w:tab/>
      </w:r>
      <w:r>
        <w:rPr>
          <w:b/>
        </w:rPr>
        <w:tab/>
        <w:t xml:space="preserve">      (DÖNEMİ</w:t>
      </w:r>
      <w:r>
        <w:rPr>
          <w:b/>
        </w:rPr>
        <w:tab/>
        <w:t xml:space="preserve">:  </w:t>
      </w:r>
      <w:r>
        <w:rPr>
          <w:b/>
        </w:rPr>
        <w:tab/>
      </w:r>
    </w:p>
    <w:p w:rsidR="0006179A" w:rsidRDefault="0006179A">
      <w:pPr>
        <w:ind w:left="709"/>
        <w:rPr>
          <w:b/>
        </w:rPr>
      </w:pPr>
      <w:r>
        <w:rPr>
          <w:b/>
          <w:bCs/>
        </w:rPr>
        <w:t xml:space="preserve"> (KARAR</w:t>
      </w:r>
      <w:r>
        <w:t xml:space="preserve"> </w:t>
      </w:r>
      <w:r>
        <w:rPr>
          <w:b/>
        </w:rPr>
        <w:t>TEBLİĞ TARİHİ</w:t>
      </w:r>
      <w:r>
        <w:rPr>
          <w:b/>
        </w:rPr>
        <w:tab/>
        <w:t xml:space="preserve">:  </w:t>
      </w:r>
      <w:r>
        <w:rPr>
          <w:b/>
        </w:rPr>
        <w:tab/>
      </w:r>
      <w:r>
        <w:rPr>
          <w:b/>
        </w:rPr>
        <w:tab/>
      </w:r>
      <w:r>
        <w:rPr>
          <w:b/>
        </w:rPr>
        <w:tab/>
      </w:r>
    </w:p>
    <w:p w:rsidR="0006179A" w:rsidRDefault="0006179A">
      <w:pPr>
        <w:ind w:left="709"/>
        <w:rPr>
          <w:b/>
        </w:rPr>
      </w:pPr>
    </w:p>
    <w:p w:rsidR="0006179A" w:rsidRDefault="0006179A">
      <w:pPr>
        <w:ind w:left="709"/>
      </w:pPr>
    </w:p>
    <w:p w:rsidR="0006179A" w:rsidRDefault="0006179A">
      <w:pPr>
        <w:rPr>
          <w:b/>
          <w:u w:val="single"/>
        </w:rPr>
      </w:pPr>
      <w:r>
        <w:rPr>
          <w:b/>
          <w:u w:val="single"/>
        </w:rPr>
        <w:t>OLAY:</w:t>
      </w:r>
    </w:p>
    <w:p w:rsidR="0006179A" w:rsidRDefault="0006179A">
      <w:pPr>
        <w:rPr>
          <w:b/>
        </w:rPr>
      </w:pPr>
    </w:p>
    <w:p w:rsidR="0006179A" w:rsidRDefault="0006179A">
      <w:pPr>
        <w:pStyle w:val="GvdeMetni"/>
      </w:pPr>
      <w:r>
        <w:t xml:space="preserve">Kurumumuzun 2005 Takvim yılına ait Kurumlar  Vergisi  elden verdik. Ancak; Vergi dairesi söz konusu beyannameyi  Elektronik ortamda vermediğimizden dolayı, 213 Sayılı </w:t>
      </w:r>
      <w:proofErr w:type="spellStart"/>
      <w:r>
        <w:t>VUK’nun</w:t>
      </w:r>
      <w:proofErr w:type="spellEnd"/>
      <w:r>
        <w:t xml:space="preserve"> Mükerrer 355. maddeye göre 1.290.-YTL Özel usulsüzlük cezası kesmiştir.</w:t>
      </w:r>
    </w:p>
    <w:p w:rsidR="0006179A" w:rsidRDefault="0006179A">
      <w:pPr>
        <w:rPr>
          <w:b/>
          <w:sz w:val="22"/>
        </w:rPr>
      </w:pPr>
    </w:p>
    <w:p w:rsidR="0006179A" w:rsidRDefault="0006179A">
      <w:pPr>
        <w:rPr>
          <w:b/>
          <w:u w:val="single"/>
        </w:rPr>
      </w:pPr>
      <w:r>
        <w:rPr>
          <w:b/>
          <w:u w:val="single"/>
        </w:rPr>
        <w:t>KARARIN BOZULMASINI GEREKTİREN NEDENLER:</w:t>
      </w:r>
    </w:p>
    <w:p w:rsidR="0006179A" w:rsidRDefault="0006179A">
      <w:pPr>
        <w:rPr>
          <w:b/>
        </w:rPr>
      </w:pPr>
      <w:r>
        <w:rPr>
          <w:b/>
        </w:rPr>
        <w:tab/>
      </w:r>
    </w:p>
    <w:p w:rsidR="0006179A" w:rsidRDefault="0006179A">
      <w:pPr>
        <w:jc w:val="both"/>
        <w:rPr>
          <w:b/>
          <w:bCs/>
          <w:sz w:val="22"/>
        </w:rPr>
      </w:pPr>
      <w:r>
        <w:rPr>
          <w:b/>
          <w:bCs/>
          <w:sz w:val="22"/>
        </w:rPr>
        <w:t xml:space="preserve">1)-VUK’ </w:t>
      </w:r>
      <w:proofErr w:type="spellStart"/>
      <w:r>
        <w:rPr>
          <w:b/>
          <w:bCs/>
          <w:sz w:val="22"/>
        </w:rPr>
        <w:t>nun</w:t>
      </w:r>
      <w:proofErr w:type="spellEnd"/>
      <w:r>
        <w:rPr>
          <w:b/>
          <w:bCs/>
          <w:sz w:val="22"/>
        </w:rPr>
        <w:t xml:space="preserve"> Mükerrer 355’nci maddesinin ikinci fıkrasında açıklandığı gibi; bu maddeye ilişkin cezai hükümlerin uygulanması için, bilgi ve ibraz ödevinin yerine getirilmesiyle ilgili olarak yapılacak tebliğlerde “bilginin” verilmesi için tayin olunan sürede cevap verilmemesi, eksik veya yanıltıcı “bilgi” verilmesi veya defter ve belge ibrazı için tayin olunan süre ile defter ve belgelerin süresinde ibraz edilmemesi durumunda haklarında Kanunun ceza hükümlerinin uygulanması cihetine gidileceğinin ilgililere yazılı olarak bildirilmesi şarttır.</w:t>
      </w:r>
    </w:p>
    <w:p w:rsidR="0006179A" w:rsidRDefault="0006179A">
      <w:pPr>
        <w:jc w:val="both"/>
        <w:rPr>
          <w:b/>
          <w:bCs/>
          <w:color w:val="000000"/>
          <w:sz w:val="22"/>
        </w:rPr>
      </w:pPr>
    </w:p>
    <w:p w:rsidR="0006179A" w:rsidRDefault="0006179A">
      <w:pPr>
        <w:jc w:val="both"/>
        <w:rPr>
          <w:b/>
          <w:bCs/>
          <w:color w:val="000000"/>
          <w:sz w:val="22"/>
        </w:rPr>
      </w:pPr>
      <w:r>
        <w:rPr>
          <w:b/>
          <w:bCs/>
          <w:color w:val="000000"/>
          <w:sz w:val="22"/>
        </w:rPr>
        <w:t xml:space="preserve">Buna göre, </w:t>
      </w:r>
      <w:proofErr w:type="spellStart"/>
      <w:r>
        <w:rPr>
          <w:b/>
          <w:bCs/>
          <w:color w:val="000000"/>
          <w:sz w:val="22"/>
        </w:rPr>
        <w:t>Mük</w:t>
      </w:r>
      <w:proofErr w:type="spellEnd"/>
      <w:r>
        <w:rPr>
          <w:b/>
          <w:bCs/>
          <w:color w:val="000000"/>
          <w:sz w:val="22"/>
        </w:rPr>
        <w:t xml:space="preserve">. 355’nci maddeye göre ceza kesilebilmesi için, verilmeyen veya eksik veya yanıltıcı verilen “bilgi” olması ve bu cezanın kesilmesi için tebliğ veya cezaya gidileceğine ilişkin yazılı bildirim yapılması gerekmektedir. </w:t>
      </w:r>
    </w:p>
    <w:p w:rsidR="0006179A" w:rsidRDefault="0006179A">
      <w:pPr>
        <w:jc w:val="both"/>
        <w:rPr>
          <w:b/>
          <w:bCs/>
          <w:color w:val="000000"/>
          <w:sz w:val="22"/>
        </w:rPr>
      </w:pPr>
    </w:p>
    <w:p w:rsidR="0006179A" w:rsidRDefault="0006179A">
      <w:pPr>
        <w:jc w:val="both"/>
        <w:rPr>
          <w:b/>
          <w:bCs/>
          <w:color w:val="000000"/>
          <w:sz w:val="22"/>
        </w:rPr>
      </w:pPr>
      <w:r>
        <w:rPr>
          <w:b/>
          <w:bCs/>
          <w:color w:val="000000"/>
          <w:sz w:val="22"/>
        </w:rPr>
        <w:lastRenderedPageBreak/>
        <w:t>2)-Kurumlar Vergisi beyannamemizi elektronik ortamda vermediğimizden özel usulsüzlük cezası ile cezalandırıldık. Beyannamemizi elektronik ortamda vermemiz için firmamıza yapılmış bir tebligat mevcut değildir.</w:t>
      </w:r>
    </w:p>
    <w:p w:rsidR="0006179A" w:rsidRDefault="0006179A">
      <w:pPr>
        <w:jc w:val="both"/>
        <w:rPr>
          <w:b/>
          <w:bCs/>
          <w:color w:val="000000"/>
          <w:sz w:val="22"/>
        </w:rPr>
      </w:pPr>
    </w:p>
    <w:p w:rsidR="0006179A" w:rsidRDefault="0006179A">
      <w:pPr>
        <w:jc w:val="both"/>
        <w:rPr>
          <w:b/>
          <w:color w:val="000000"/>
          <w:sz w:val="22"/>
          <w:szCs w:val="22"/>
        </w:rPr>
      </w:pPr>
    </w:p>
    <w:p w:rsidR="0006179A" w:rsidRDefault="0006179A">
      <w:pPr>
        <w:jc w:val="both"/>
        <w:rPr>
          <w:b/>
          <w:color w:val="000000"/>
          <w:sz w:val="22"/>
          <w:szCs w:val="22"/>
        </w:rPr>
      </w:pPr>
      <w:r>
        <w:rPr>
          <w:b/>
          <w:color w:val="000000"/>
          <w:sz w:val="22"/>
          <w:szCs w:val="22"/>
        </w:rPr>
        <w:t xml:space="preserve">3)-213 Sayılı VUK’ </w:t>
      </w:r>
      <w:proofErr w:type="spellStart"/>
      <w:r>
        <w:rPr>
          <w:b/>
          <w:color w:val="000000"/>
          <w:sz w:val="22"/>
          <w:szCs w:val="22"/>
        </w:rPr>
        <w:t>nun</w:t>
      </w:r>
      <w:proofErr w:type="spellEnd"/>
      <w:r>
        <w:rPr>
          <w:b/>
          <w:color w:val="000000"/>
          <w:sz w:val="22"/>
          <w:szCs w:val="22"/>
        </w:rPr>
        <w:t xml:space="preserve"> 25. Maddesine göre Türk Vergi sisteminde “İradi Beyan” sistemi  benimsenmiştir. Söz konusu madde aşağıdaki düzenlenmiştir.</w:t>
      </w:r>
    </w:p>
    <w:p w:rsidR="0006179A" w:rsidRDefault="0006179A">
      <w:pPr>
        <w:jc w:val="both"/>
        <w:rPr>
          <w:b/>
          <w:color w:val="000000"/>
          <w:sz w:val="22"/>
          <w:szCs w:val="22"/>
        </w:rPr>
      </w:pPr>
    </w:p>
    <w:p w:rsidR="0006179A" w:rsidRDefault="0006179A">
      <w:pPr>
        <w:jc w:val="both"/>
        <w:rPr>
          <w:b/>
          <w:color w:val="000000"/>
          <w:sz w:val="22"/>
          <w:szCs w:val="22"/>
        </w:rPr>
      </w:pPr>
      <w:r>
        <w:rPr>
          <w:b/>
          <w:color w:val="000000"/>
          <w:sz w:val="22"/>
          <w:szCs w:val="22"/>
        </w:rPr>
        <w:t xml:space="preserve">“Vergi kanunlarına göre beyan üzerinden alınan vergiler "Tahakkuk fişi" ile tarh ve tahakkuk ettirilir. </w:t>
      </w:r>
    </w:p>
    <w:p w:rsidR="0006179A" w:rsidRDefault="0006179A">
      <w:pPr>
        <w:jc w:val="both"/>
        <w:rPr>
          <w:b/>
          <w:color w:val="000000"/>
          <w:sz w:val="22"/>
          <w:szCs w:val="22"/>
        </w:rPr>
      </w:pPr>
      <w:r>
        <w:rPr>
          <w:b/>
          <w:color w:val="000000"/>
          <w:sz w:val="22"/>
          <w:szCs w:val="22"/>
        </w:rPr>
        <w:t xml:space="preserve">Bu esasa göre, vergi dairesince beyannamenin alınması üzerine bir tahakkuk fişi tanzim olunur ve bunun bir nüshası mükellefe veyahut beyannameyi mükellef namına vergi dairesine tevdi edene verilir. Bu suretle vergi tahakkuk etmiş olur. Tahakkuk fişinin mükellefe verilen nüshası aynı zamanda beyannamenin makbuzu yerine geçer. </w:t>
      </w:r>
    </w:p>
    <w:p w:rsidR="0006179A" w:rsidRDefault="0006179A">
      <w:pPr>
        <w:jc w:val="both"/>
        <w:rPr>
          <w:b/>
          <w:color w:val="000000"/>
          <w:sz w:val="22"/>
          <w:szCs w:val="22"/>
        </w:rPr>
      </w:pPr>
      <w:r>
        <w:rPr>
          <w:b/>
          <w:color w:val="000000"/>
          <w:sz w:val="22"/>
          <w:szCs w:val="22"/>
        </w:rPr>
        <w:t xml:space="preserve">Lüzum görülen hallerde beyana dayanan vergi tahakkuk fişi yerine ihbarname ile tebliğ olunabilir. Kanunen belli hallerde tebliğ tekalif cetvelinin </w:t>
      </w:r>
      <w:proofErr w:type="spellStart"/>
      <w:r>
        <w:rPr>
          <w:b/>
          <w:color w:val="000000"/>
          <w:sz w:val="22"/>
          <w:szCs w:val="22"/>
        </w:rPr>
        <w:t>ilaniyle</w:t>
      </w:r>
      <w:proofErr w:type="spellEnd"/>
      <w:r>
        <w:rPr>
          <w:b/>
          <w:color w:val="000000"/>
          <w:sz w:val="22"/>
          <w:szCs w:val="22"/>
        </w:rPr>
        <w:t xml:space="preserve"> yapılır.”</w:t>
      </w:r>
    </w:p>
    <w:p w:rsidR="0006179A" w:rsidRDefault="0006179A">
      <w:pPr>
        <w:jc w:val="both"/>
        <w:rPr>
          <w:b/>
          <w:color w:val="000000"/>
          <w:sz w:val="22"/>
          <w:szCs w:val="22"/>
        </w:rPr>
      </w:pPr>
    </w:p>
    <w:p w:rsidR="0006179A" w:rsidRDefault="0006179A">
      <w:pPr>
        <w:jc w:val="both"/>
        <w:rPr>
          <w:b/>
          <w:color w:val="000000"/>
          <w:sz w:val="22"/>
          <w:szCs w:val="22"/>
        </w:rPr>
      </w:pPr>
      <w:r>
        <w:rPr>
          <w:b/>
          <w:color w:val="000000"/>
          <w:sz w:val="22"/>
          <w:szCs w:val="22"/>
        </w:rPr>
        <w:t xml:space="preserve">Vergi </w:t>
      </w:r>
      <w:proofErr w:type="spellStart"/>
      <w:r>
        <w:rPr>
          <w:b/>
          <w:color w:val="000000"/>
          <w:sz w:val="22"/>
          <w:szCs w:val="22"/>
        </w:rPr>
        <w:t>Ziyaına</w:t>
      </w:r>
      <w:proofErr w:type="spellEnd"/>
      <w:r>
        <w:rPr>
          <w:b/>
          <w:color w:val="000000"/>
          <w:sz w:val="22"/>
          <w:szCs w:val="22"/>
        </w:rPr>
        <w:t xml:space="preserve"> neden olmamış, yükümlülüğüne yerine getiren  mükellefe şekli şarta uymadığı için ceza kesilmektedir. Şekli şarta uymayanlara ilişkin düzenleme  VUK’ </w:t>
      </w:r>
      <w:proofErr w:type="spellStart"/>
      <w:r>
        <w:rPr>
          <w:b/>
          <w:color w:val="000000"/>
          <w:sz w:val="22"/>
          <w:szCs w:val="22"/>
        </w:rPr>
        <w:t>nun</w:t>
      </w:r>
      <w:proofErr w:type="spellEnd"/>
      <w:r>
        <w:rPr>
          <w:b/>
          <w:color w:val="000000"/>
          <w:sz w:val="22"/>
          <w:szCs w:val="22"/>
        </w:rPr>
        <w:t xml:space="preserve"> 352. Maddesinde düzenlenmiştir.</w:t>
      </w:r>
    </w:p>
    <w:p w:rsidR="0006179A" w:rsidRDefault="0006179A">
      <w:pPr>
        <w:jc w:val="both"/>
        <w:rPr>
          <w:b/>
          <w:sz w:val="22"/>
        </w:rPr>
      </w:pPr>
    </w:p>
    <w:p w:rsidR="0006179A" w:rsidRDefault="0006179A">
      <w:pPr>
        <w:jc w:val="both"/>
        <w:rPr>
          <w:b/>
          <w:sz w:val="22"/>
        </w:rPr>
      </w:pPr>
      <w:r>
        <w:rPr>
          <w:b/>
          <w:sz w:val="22"/>
        </w:rPr>
        <w:t xml:space="preserve">Mesnetsiz ve Hukuka aykırı olarak kesilen Özel Usulsüzlük cezasının kaldırılması gerektiği kanaatindeyiz. </w:t>
      </w:r>
    </w:p>
    <w:p w:rsidR="0006179A" w:rsidRDefault="0006179A">
      <w:pPr>
        <w:jc w:val="both"/>
        <w:rPr>
          <w:b/>
          <w:sz w:val="22"/>
        </w:rPr>
      </w:pPr>
    </w:p>
    <w:p w:rsidR="0006179A" w:rsidRDefault="0006179A">
      <w:pPr>
        <w:jc w:val="both"/>
        <w:rPr>
          <w:b/>
          <w:bCs/>
          <w:color w:val="000000"/>
          <w:sz w:val="22"/>
        </w:rPr>
      </w:pPr>
      <w:r>
        <w:rPr>
          <w:b/>
          <w:sz w:val="22"/>
        </w:rPr>
        <w:t xml:space="preserve">4- İhtilafımıza karar veren İstanbul ………Vergi Mahkemesi; VUK </w:t>
      </w:r>
      <w:proofErr w:type="spellStart"/>
      <w:r>
        <w:rPr>
          <w:b/>
          <w:sz w:val="22"/>
        </w:rPr>
        <w:t>Mük</w:t>
      </w:r>
      <w:proofErr w:type="spellEnd"/>
      <w:r>
        <w:rPr>
          <w:b/>
          <w:sz w:val="22"/>
        </w:rPr>
        <w:t>. 355. Maddesindeki ceza yaptırımından hareket ile karar vermiştir. Oysa;</w:t>
      </w:r>
      <w:r>
        <w:rPr>
          <w:b/>
          <w:bCs/>
          <w:color w:val="000000"/>
          <w:sz w:val="22"/>
        </w:rPr>
        <w:t xml:space="preserve"> Elektronik ortamda beyanname verilmesi yükümlüler ve idare açısından bir kolaylık olup, beyannamemizi elektronik ortam yerine elden ve süresi içerisinde vermemiz cezai bir durum yaratmadığı kanaatindeyiz. </w:t>
      </w:r>
    </w:p>
    <w:p w:rsidR="0006179A" w:rsidRDefault="0006179A">
      <w:pPr>
        <w:jc w:val="both"/>
        <w:rPr>
          <w:b/>
          <w:sz w:val="22"/>
        </w:rPr>
      </w:pPr>
    </w:p>
    <w:p w:rsidR="0006179A" w:rsidRDefault="0006179A">
      <w:pPr>
        <w:pStyle w:val="Balk1"/>
        <w:rPr>
          <w:bCs w:val="0"/>
        </w:rPr>
      </w:pPr>
      <w:r>
        <w:rPr>
          <w:bCs w:val="0"/>
        </w:rPr>
        <w:t>SONUÇ</w:t>
      </w:r>
    </w:p>
    <w:p w:rsidR="0006179A" w:rsidRDefault="0006179A">
      <w:pPr>
        <w:pStyle w:val="Altbilgi"/>
        <w:tabs>
          <w:tab w:val="clear" w:pos="4536"/>
          <w:tab w:val="clear" w:pos="9072"/>
        </w:tabs>
      </w:pPr>
    </w:p>
    <w:p w:rsidR="0006179A" w:rsidRDefault="0006179A">
      <w:pPr>
        <w:pStyle w:val="GvdeMetniGirintisi"/>
        <w:ind w:left="0"/>
        <w:rPr>
          <w:sz w:val="22"/>
        </w:rPr>
      </w:pPr>
      <w:r>
        <w:rPr>
          <w:sz w:val="22"/>
        </w:rPr>
        <w:t xml:space="preserve">Yukarıda açıklanan nedenlerle, itiraza  konu Vergi mahkemesi kararının bozulmasına ve yargılama giderlerinin karşı tarafa yükletilmesine karar verilmesini arz ederiz.    </w:t>
      </w:r>
    </w:p>
    <w:p w:rsidR="0006179A" w:rsidRDefault="0006179A">
      <w:pPr>
        <w:ind w:left="709"/>
        <w:rPr>
          <w:sz w:val="22"/>
        </w:rPr>
      </w:pPr>
    </w:p>
    <w:p w:rsidR="0006179A" w:rsidRDefault="0006179A">
      <w:pPr>
        <w:pStyle w:val="Balk2"/>
      </w:pPr>
    </w:p>
    <w:p w:rsidR="0006179A" w:rsidRDefault="0006179A">
      <w:pPr>
        <w:pStyle w:val="Balk2"/>
      </w:pPr>
    </w:p>
    <w:p w:rsidR="0006179A" w:rsidRDefault="0006179A">
      <w:pPr>
        <w:pStyle w:val="Balk2"/>
      </w:pPr>
      <w:r>
        <w:t>İTİRAZ EDEN</w:t>
      </w:r>
    </w:p>
    <w:p w:rsidR="0006179A" w:rsidRDefault="0006179A">
      <w:pPr>
        <w:ind w:left="709"/>
      </w:pPr>
    </w:p>
    <w:p w:rsidR="0006179A" w:rsidRDefault="0006179A">
      <w:pPr>
        <w:ind w:left="709"/>
      </w:pPr>
    </w:p>
    <w:p w:rsidR="0006179A" w:rsidRDefault="0006179A">
      <w:pPr>
        <w:ind w:left="709"/>
      </w:pPr>
    </w:p>
    <w:p w:rsidR="0006179A" w:rsidRDefault="0006179A">
      <w:pPr>
        <w:ind w:left="709"/>
      </w:pPr>
    </w:p>
    <w:p w:rsidR="0006179A" w:rsidRDefault="0006179A">
      <w:pPr>
        <w:rPr>
          <w:b/>
        </w:rPr>
      </w:pPr>
      <w:r>
        <w:rPr>
          <w:b/>
        </w:rPr>
        <w:t>EKLER:</w:t>
      </w:r>
    </w:p>
    <w:p w:rsidR="0006179A" w:rsidRDefault="0006179A">
      <w:pPr>
        <w:rPr>
          <w:b/>
        </w:rPr>
      </w:pPr>
      <w:r>
        <w:rPr>
          <w:b/>
        </w:rPr>
        <w:t xml:space="preserve">1-İst……..Vergi Mahkemesi kararı </w:t>
      </w:r>
    </w:p>
    <w:p w:rsidR="0006179A" w:rsidRDefault="0006179A">
      <w:pPr>
        <w:rPr>
          <w:b/>
        </w:rPr>
      </w:pPr>
      <w:r>
        <w:rPr>
          <w:b/>
        </w:rPr>
        <w:t>2-İmza sirküleri</w:t>
      </w:r>
    </w:p>
    <w:p w:rsidR="0006179A" w:rsidRDefault="0006179A">
      <w:pPr>
        <w:ind w:left="709"/>
        <w:rPr>
          <w:b/>
        </w:rPr>
      </w:pPr>
    </w:p>
    <w:p w:rsidR="0006179A" w:rsidRDefault="0006179A">
      <w:pPr>
        <w:ind w:left="709"/>
      </w:pPr>
      <w:r>
        <w:tab/>
      </w:r>
    </w:p>
    <w:p w:rsidR="0006179A" w:rsidRDefault="0006179A"/>
    <w:sectPr w:rsidR="0006179A">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EF1" w:rsidRDefault="008B0EF1">
      <w:r>
        <w:separator/>
      </w:r>
    </w:p>
  </w:endnote>
  <w:endnote w:type="continuationSeparator" w:id="1">
    <w:p w:rsidR="008B0EF1" w:rsidRDefault="008B0E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79A" w:rsidRDefault="0006179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06179A" w:rsidRDefault="0006179A">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79A" w:rsidRDefault="0006179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59528D">
      <w:rPr>
        <w:rStyle w:val="SayfaNumaras"/>
        <w:noProof/>
      </w:rPr>
      <w:t>1</w:t>
    </w:r>
    <w:r>
      <w:rPr>
        <w:rStyle w:val="SayfaNumaras"/>
      </w:rPr>
      <w:fldChar w:fldCharType="end"/>
    </w:r>
  </w:p>
  <w:p w:rsidR="0006179A" w:rsidRDefault="0006179A">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EF1" w:rsidRDefault="008B0EF1">
      <w:r>
        <w:separator/>
      </w:r>
    </w:p>
  </w:footnote>
  <w:footnote w:type="continuationSeparator" w:id="1">
    <w:p w:rsidR="008B0EF1" w:rsidRDefault="008B0E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08"/>
  <w:hyphenationZone w:val="425"/>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D410D"/>
    <w:rsid w:val="0006179A"/>
    <w:rsid w:val="0059528D"/>
    <w:rsid w:val="008078A4"/>
    <w:rsid w:val="008B0EF1"/>
    <w:rsid w:val="009D410D"/>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qFormat/>
    <w:pPr>
      <w:keepNext/>
      <w:outlineLvl w:val="0"/>
    </w:pPr>
    <w:rPr>
      <w:b/>
      <w:bCs/>
      <w:u w:val="single"/>
    </w:rPr>
  </w:style>
  <w:style w:type="paragraph" w:styleId="Balk2">
    <w:name w:val="heading 2"/>
    <w:basedOn w:val="Normal"/>
    <w:next w:val="Normal"/>
    <w:qFormat/>
    <w:pPr>
      <w:keepNext/>
      <w:ind w:left="5665" w:firstLine="707"/>
      <w:outlineLvl w:val="1"/>
    </w:pPr>
    <w:rPr>
      <w:b/>
      <w:bCs/>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pPr>
      <w:jc w:val="both"/>
    </w:pPr>
    <w:rPr>
      <w:b/>
      <w:sz w:val="22"/>
    </w:rPr>
  </w:style>
  <w:style w:type="paragraph" w:styleId="Altbilgi">
    <w:name w:val="footer"/>
    <w:basedOn w:val="Normal"/>
    <w:pPr>
      <w:tabs>
        <w:tab w:val="center" w:pos="4536"/>
        <w:tab w:val="right" w:pos="9072"/>
      </w:tabs>
    </w:pPr>
  </w:style>
  <w:style w:type="character" w:styleId="SayfaNumaras">
    <w:name w:val="page number"/>
    <w:basedOn w:val="VarsaylanParagrafYazTipi"/>
  </w:style>
  <w:style w:type="paragraph" w:styleId="GvdeMetniGirintisi">
    <w:name w:val="Body Text Indent"/>
    <w:basedOn w:val="Normal"/>
    <w:pPr>
      <w:ind w:left="709"/>
      <w:jc w:val="both"/>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3089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İSMMMO</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dc:creator>
  <cp:lastModifiedBy>mehmet-pc</cp:lastModifiedBy>
  <cp:revision>2</cp:revision>
  <cp:lastPrinted>2007-03-07T12:10:00Z</cp:lastPrinted>
  <dcterms:created xsi:type="dcterms:W3CDTF">2017-09-20T14:40:00Z</dcterms:created>
  <dcterms:modified xsi:type="dcterms:W3CDTF">2017-09-20T14:40:00Z</dcterms:modified>
</cp:coreProperties>
</file>